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2836"/>
        <w:gridCol w:w="6094"/>
      </w:tblGrid>
      <w:tr w:rsidR="00610BF7" w:rsidRPr="00EA47DA" w:rsidTr="005C42B6">
        <w:tc>
          <w:tcPr>
            <w:tcW w:w="2836" w:type="dxa"/>
          </w:tcPr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407B74" w:rsidRPr="00EA47DA" w:rsidRDefault="00B04D0D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Rehberlik </w:t>
            </w:r>
            <w:r w:rsid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ve Tanıtım </w:t>
            </w:r>
            <w:r w:rsidRPr="00B04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Uzmanı</w:t>
            </w:r>
          </w:p>
        </w:tc>
      </w:tr>
      <w:tr w:rsidR="00610BF7" w:rsidRPr="00EA47DA" w:rsidTr="005C42B6">
        <w:tc>
          <w:tcPr>
            <w:tcW w:w="2836" w:type="dxa"/>
          </w:tcPr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610BF7" w:rsidRPr="00EA47DA" w:rsidRDefault="00B04D0D" w:rsidP="008176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0D">
              <w:rPr>
                <w:rFonts w:ascii="Times New Roman" w:hAnsi="Times New Roman" w:cs="Times New Roman"/>
                <w:sz w:val="24"/>
                <w:szCs w:val="24"/>
              </w:rPr>
              <w:t>Aday İlişkileri ve Tanıtım Ofisi Direktörü</w:t>
            </w:r>
          </w:p>
        </w:tc>
      </w:tr>
      <w:tr w:rsidR="00610BF7" w:rsidRPr="00EA47DA" w:rsidTr="005C42B6">
        <w:tc>
          <w:tcPr>
            <w:tcW w:w="2836" w:type="dxa"/>
          </w:tcPr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E929E1" w:rsidRPr="00EA47DA" w:rsidRDefault="00E929E1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F7" w:rsidRPr="00EA47DA" w:rsidTr="005C42B6">
        <w:tc>
          <w:tcPr>
            <w:tcW w:w="2836" w:type="dxa"/>
          </w:tcPr>
          <w:p w:rsidR="00610BF7" w:rsidRPr="00EA47DA" w:rsidRDefault="00610BF7" w:rsidP="0081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610BF7" w:rsidRPr="00EA47DA" w:rsidRDefault="00B04D0D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0D">
              <w:rPr>
                <w:rFonts w:ascii="Times New Roman" w:hAnsi="Times New Roman" w:cs="Times New Roman"/>
                <w:sz w:val="24"/>
                <w:szCs w:val="24"/>
              </w:rPr>
              <w:t xml:space="preserve">Aday İlişkileri ve Tanıtım Ofisi </w:t>
            </w:r>
            <w:proofErr w:type="spellStart"/>
            <w:r w:rsidRPr="00B04D0D">
              <w:rPr>
                <w:rFonts w:ascii="Times New Roman" w:hAnsi="Times New Roman" w:cs="Times New Roman"/>
                <w:sz w:val="24"/>
                <w:szCs w:val="24"/>
              </w:rPr>
              <w:t>Direktörü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’nün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FC">
              <w:rPr>
                <w:rFonts w:ascii="Times New Roman" w:hAnsi="Times New Roman" w:cs="Times New Roman"/>
                <w:sz w:val="24"/>
                <w:szCs w:val="24"/>
              </w:rPr>
              <w:t>uygun gördüğü personel</w:t>
            </w:r>
            <w:r w:rsidR="00A74CFC" w:rsidRPr="00366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BF7" w:rsidRPr="00EA47DA" w:rsidTr="005C42B6">
        <w:tc>
          <w:tcPr>
            <w:tcW w:w="2836" w:type="dxa"/>
          </w:tcPr>
          <w:p w:rsidR="00610BF7" w:rsidRPr="00EA47DA" w:rsidRDefault="00610BF7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EA47DA" w:rsidRDefault="00610BF7" w:rsidP="0081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D0D" w:rsidRPr="00424179" w:rsidRDefault="00B04D0D" w:rsidP="00424179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Aday İlişkileri ve Tanıtım Ofisi bünyesindeki tüm faaliyetlere destek sağlayarak İstanbul Arel Üniversitesini hedef k</w:t>
            </w:r>
            <w:r w:rsidR="00424179"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itleler karşısında temsil eder. </w:t>
            </w:r>
            <w:r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Aday öğrencilere yönelik doküma</w:t>
            </w:r>
            <w:r w:rsidR="00424179"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n ve sunum içerikleri hazırlar. </w:t>
            </w:r>
            <w:r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Ortaöğretim kurumlarının ziyaretleri</w:t>
            </w:r>
            <w:r w:rsidR="00424179"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ni</w:t>
            </w:r>
            <w:r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gerçekleştirerek, planlanan etkinlik</w:t>
            </w:r>
            <w:r w:rsidR="00424179"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lerde Rehberlik sunumları verir. </w:t>
            </w:r>
            <w:r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Kuruma yeni bağlantılar kazandırara</w:t>
            </w:r>
            <w:r w:rsidR="00424179"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k, işbirliği çalışmaları yapar.</w:t>
            </w:r>
            <w:r w:rsidRPr="0042417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  <w:p w:rsidR="00E033BB" w:rsidRPr="00EA47DA" w:rsidRDefault="00E033BB" w:rsidP="0031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EA47DA" w:rsidTr="005C42B6">
        <w:tc>
          <w:tcPr>
            <w:tcW w:w="2836" w:type="dxa"/>
          </w:tcPr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094" w:type="dxa"/>
          </w:tcPr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Ortaöğretim kurumlarına ziyaretlerde bulunmak; rehber öğretmen ve idarecilerle görüşmeler yaparak, üniversitenin bölüm program ve imkânları hakkı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nda bilgi paylaşımında bulunmak,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Hazırlanan eğitim konularını, karşı kuruma sunmak ve talepleri değerlendirerek öğrenci, öğretmen ve veli etkinlikleri organize etmek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Yapılması planlanacak olan eğitim, workshop ve seminerleri ilgili </w:t>
            </w:r>
            <w:proofErr w:type="gramStart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Fakültelerle  planlamak</w:t>
            </w:r>
            <w:proofErr w:type="gramEnd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 gerekli süreci yönetmek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Ziyaret edilen kurumlar ile kampüs gezisi organizasyonları planlanmak, servis, ikram, doküman hazırlığı, yer planlanması gibi süreçleri takip ederek, ilgili birimlerle koordinasyon ve yazışmaları yapmak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Ziyarete gelen eğitim kurumları ve aday öğrencilere kampüs gezisi yaptırarak, üniversitenin fiziki imkânları hakkında bilgi vermek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Kariyer günleri, fuar gibi etkinliklerde doküman, materyal planı ve lojistiği gibi ön hazırlığının </w:t>
            </w: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 xml:space="preserve">yapılmasının ardından </w:t>
            </w:r>
            <w:r w:rsidRPr="00420EFF">
              <w:rPr>
                <w:rFonts w:eastAsia="Tahoma"/>
                <w:lang w:bidi="tr-TR"/>
              </w:rPr>
              <w:t xml:space="preserve">katılım sağlayarak üniversiteyi </w:t>
            </w: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temsil etmek, seminer vermek,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Ortaöğretim kurumlarında, aday öğrencilere yönelik Kariyer Gelişimi, Sınav Sistemi, Verimli Ders Çalışma, Kaygı ve Motivasyon üzerine Rehberlik sunum içerikleri oluşturarak, seminerler vermek, ayrıca üniversite tanıtım sunumları gerçekleştirmek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Kurum içi </w:t>
            </w:r>
            <w:proofErr w:type="spellStart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satınalma</w:t>
            </w:r>
            <w:proofErr w:type="spellEnd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talepleri, afiş, servis </w:t>
            </w:r>
            <w:proofErr w:type="spellStart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vb</w:t>
            </w:r>
            <w:proofErr w:type="spellEnd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talepler için ilgili birimlere EBYS üzerinden talep formları göndermek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Aday web sitesi üzerinden gönderilen, iletişim formlarını yanıtlamak, arayarak görüşmeler yapmak,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Sosyal medya hesapları, mail ve çağrı merkezi yoluyla ulaşan aday öğrencilere bilgilendirme yapmak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Web sitesi üzerindeki bilgileri kontrol etmek güncel tutulmasına destek sağlamak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OSYM duyurularını takip ederek, birim direktörünü bilgilendirmek, sürece uygun olarak gerekli dokümanlar hazırlamasına destek sağlamak (puantaj </w:t>
            </w:r>
            <w:proofErr w:type="spellStart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vb</w:t>
            </w:r>
            <w:proofErr w:type="spellEnd"/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)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Rakip analizi yaparak, ücret, puan ve burs koşullarını karşılaştırmak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Çalışmalarını bilgi güvenliği hedeflerine, politikalarına uygun olarak yürütmek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Gözlenen herhangi bir aksaklık durumunda üst yöneticisini bilgilendirmek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Üniversitenin Tercih ve Tanıtım günlerinde koordinasyon görevi almak, tercih danışmanlığı yapmak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YKS Tercihleri, Kayıt, DGS, Yatay Geçiş süreçlerinde çeşitli iletişim kanallarıyla ulaşarak bilgi almak isteyen aday öğrenciye bilgi paylaşımında bulunmak, yönlendirmek, kılavuz etmek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20EF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>Birim direktörü tarafından talep edilen raporları ve birim içerisinde gerçekleşen faaliyetlere yönelik verilen görevleri yerine getirmek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  <w:p w:rsidR="00A74CFC" w:rsidRPr="00B04D0D" w:rsidRDefault="00A74CFC" w:rsidP="00420EFF">
            <w:pPr>
              <w:pStyle w:val="ListeParagraf"/>
              <w:spacing w:after="200" w:line="276" w:lineRule="auto"/>
              <w:jc w:val="both"/>
              <w:rPr>
                <w:rFonts w:eastAsia="Tahoma"/>
                <w:lang w:bidi="tr-TR"/>
              </w:rPr>
            </w:pPr>
          </w:p>
        </w:tc>
      </w:tr>
      <w:tr w:rsidR="00A74CFC" w:rsidRPr="00EA47DA" w:rsidTr="005C42B6">
        <w:tc>
          <w:tcPr>
            <w:tcW w:w="2836" w:type="dxa"/>
          </w:tcPr>
          <w:p w:rsidR="00A74CFC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  <w:p w:rsidR="00A74CFC" w:rsidRPr="002027AE" w:rsidRDefault="00A74CFC" w:rsidP="00A7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Default="00A74CFC" w:rsidP="00A7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Default="00A74CFC" w:rsidP="00A7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Default="00A74CFC" w:rsidP="00A7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Pr="002027AE" w:rsidRDefault="00A74CFC" w:rsidP="00A74CF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D0D" w:rsidRPr="00420EFF" w:rsidRDefault="00B04D0D" w:rsidP="00420EF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FF">
              <w:rPr>
                <w:rFonts w:ascii="Times New Roman" w:hAnsi="Times New Roman" w:cs="Times New Roman"/>
                <w:sz w:val="24"/>
                <w:szCs w:val="24"/>
              </w:rPr>
              <w:t>Lisans derecesi, Eğitim ve Fen Edebiyat Fakültelerinde yer alan PDR, Psikoloji, Sosyoloji, F</w:t>
            </w:r>
            <w:r w:rsidR="00BE57E2" w:rsidRPr="00420EFF">
              <w:rPr>
                <w:rFonts w:ascii="Times New Roman" w:hAnsi="Times New Roman" w:cs="Times New Roman"/>
                <w:sz w:val="24"/>
                <w:szCs w:val="24"/>
              </w:rPr>
              <w:t>elsefe böl</w:t>
            </w:r>
            <w:r w:rsidR="00420EFF">
              <w:rPr>
                <w:rFonts w:ascii="Times New Roman" w:hAnsi="Times New Roman" w:cs="Times New Roman"/>
                <w:sz w:val="24"/>
                <w:szCs w:val="24"/>
              </w:rPr>
              <w:t>ümlerinden mezuniyet gereklidir</w:t>
            </w:r>
            <w:r w:rsidR="00BE57E2" w:rsidRPr="00420EFF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Pr="00420EFF">
              <w:rPr>
                <w:rFonts w:ascii="Times New Roman" w:hAnsi="Times New Roman" w:cs="Times New Roman"/>
                <w:sz w:val="24"/>
                <w:szCs w:val="24"/>
              </w:rPr>
              <w:t>ercihen yüksek lisans düzeyinde olmak)</w:t>
            </w:r>
            <w:r w:rsidR="00420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4CFC" w:rsidRPr="000E71F7" w:rsidRDefault="00A74CFC" w:rsidP="00B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CFC" w:rsidRDefault="00B04D0D" w:rsidP="00420EF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Belirtilen görev ve sorumluluklarla doğrudan ilgili en az </w:t>
            </w:r>
            <w:r w:rsidR="00AC27D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deneyim.</w:t>
            </w:r>
          </w:p>
          <w:p w:rsidR="00420EFF" w:rsidRDefault="00420EFF" w:rsidP="00420EF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20EFF" w:rsidRPr="00420EFF" w:rsidRDefault="00420EFF" w:rsidP="00420EF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EA47DA" w:rsidTr="005C42B6">
        <w:tc>
          <w:tcPr>
            <w:tcW w:w="2836" w:type="dxa"/>
          </w:tcPr>
          <w:p w:rsidR="00420EFF" w:rsidRDefault="00420EFF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A74CFC" w:rsidRPr="000E71F7" w:rsidRDefault="00A74CFC" w:rsidP="00A74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Pazarlama, iletişim ve sunum tekniklerini bilmek, </w:t>
            </w: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etkili iletişim becerisine sahip olmak,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YKS sürecine iyi düzeyde hâkim olmak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Organizasyon ve koordinasyon becerisine sahip olmak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Calibri" w:hAnsi="Times New Roman" w:cs="Times New Roman"/>
                <w:sz w:val="24"/>
                <w:szCs w:val="24"/>
              </w:rPr>
              <w:t>Yenilikleri takip etmek, bilgiyi kullanabilmek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Program planlama ve uygulama becerisine sahip olmak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Microsoft Office programlarını iyi derecede kullanabilmek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Dikkatli ve titiz çalışmak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Calibri" w:hAnsi="Times New Roman" w:cs="Times New Roman"/>
                <w:sz w:val="24"/>
                <w:szCs w:val="24"/>
              </w:rPr>
              <w:t>Zamanı iyi yönetebilmek,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Gizli bilgileri yönetebilmek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Yeni strateji ve </w:t>
            </w:r>
            <w:proofErr w:type="gramStart"/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prosedürler</w:t>
            </w:r>
            <w:proofErr w:type="gramEnd"/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geliştirme ve uy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gulama becerilerine sahip olmak, </w:t>
            </w:r>
          </w:p>
          <w:p w:rsidR="00420EFF" w:rsidRPr="00420EFF" w:rsidRDefault="00420EFF" w:rsidP="00420EF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BE57E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Kısa ve uzun vadeli amaçları bilmek, planla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yabilmek ve gerçekleştirebilmek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gerekli yetkinliklerdir.</w:t>
            </w:r>
          </w:p>
          <w:p w:rsidR="00420EFF" w:rsidRDefault="00420EFF" w:rsidP="00420EFF">
            <w:p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420EFF" w:rsidRDefault="00420EFF" w:rsidP="00420EFF">
            <w:p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420EFF" w:rsidRDefault="00420EFF" w:rsidP="00420EFF">
            <w:p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420EFF" w:rsidRDefault="00420EFF" w:rsidP="00420EFF">
            <w:p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420EFF" w:rsidRPr="00420EFF" w:rsidRDefault="00420EFF" w:rsidP="00420EFF">
            <w:pPr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74CFC" w:rsidRPr="00EA47DA" w:rsidRDefault="00A74CFC" w:rsidP="00A74CFC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EA47DA" w:rsidTr="005C42B6">
        <w:tc>
          <w:tcPr>
            <w:tcW w:w="2836" w:type="dxa"/>
          </w:tcPr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094" w:type="dxa"/>
          </w:tcPr>
          <w:p w:rsidR="008E7A53" w:rsidRPr="00EA47DA" w:rsidRDefault="00420EFF" w:rsidP="00A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</w:tr>
      <w:tr w:rsidR="00A74CFC" w:rsidRPr="00EA47DA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EA47DA" w:rsidRDefault="00A74CFC" w:rsidP="00A7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EA47DA" w:rsidTr="005C42B6">
        <w:tc>
          <w:tcPr>
            <w:tcW w:w="8930" w:type="dxa"/>
            <w:gridSpan w:val="2"/>
          </w:tcPr>
          <w:p w:rsidR="00A74CFC" w:rsidRPr="00EA47DA" w:rsidRDefault="00A74CFC" w:rsidP="00A7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EA47DA" w:rsidRDefault="00A74CFC" w:rsidP="00A7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EA47DA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EA47DA" w:rsidRDefault="00A74CFC" w:rsidP="00A7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EA47DA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EA47DA" w:rsidRDefault="00A74CFC" w:rsidP="00A7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EA47DA" w:rsidRDefault="00A74CFC" w:rsidP="00A7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EA47DA" w:rsidRDefault="00A74CFC" w:rsidP="00A7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EA47DA" w:rsidRDefault="00E033BB" w:rsidP="00817609">
      <w:pPr>
        <w:rPr>
          <w:rFonts w:ascii="Times New Roman" w:hAnsi="Times New Roman" w:cs="Times New Roman"/>
          <w:sz w:val="24"/>
          <w:szCs w:val="24"/>
        </w:rPr>
      </w:pPr>
    </w:p>
    <w:sectPr w:rsidR="00E033BB" w:rsidRPr="00EA47DA" w:rsidSect="005C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B1" w:rsidRDefault="001172B1" w:rsidP="00610BF7">
      <w:pPr>
        <w:spacing w:after="0" w:line="240" w:lineRule="auto"/>
      </w:pPr>
      <w:r>
        <w:separator/>
      </w:r>
    </w:p>
  </w:endnote>
  <w:endnote w:type="continuationSeparator" w:id="0">
    <w:p w:rsidR="001172B1" w:rsidRDefault="001172B1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53" w:rsidRDefault="002D34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420EFF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0E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0E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0E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345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20EF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E57E2" w:rsidRPr="00420EFF">
          <w:rPr>
            <w:rFonts w:ascii="Times New Roman" w:hAnsi="Times New Roman" w:cs="Times New Roman"/>
            <w:sz w:val="24"/>
            <w:szCs w:val="24"/>
          </w:rPr>
          <w:t>/4</w:t>
        </w:r>
      </w:p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53" w:rsidRDefault="002D34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B1" w:rsidRDefault="001172B1" w:rsidP="00610BF7">
      <w:pPr>
        <w:spacing w:after="0" w:line="240" w:lineRule="auto"/>
      </w:pPr>
      <w:r>
        <w:separator/>
      </w:r>
    </w:p>
  </w:footnote>
  <w:footnote w:type="continuationSeparator" w:id="0">
    <w:p w:rsidR="001172B1" w:rsidRDefault="001172B1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53" w:rsidRDefault="002D34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6331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F9454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F9454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GT.AİT</w:t>
          </w:r>
          <w:proofErr w:type="gramEnd"/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2D3453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8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="002D3453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r w:rsidR="002D3453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12.07</w:t>
          </w:r>
          <w:bookmarkStart w:id="0" w:name="_GoBack"/>
          <w:bookmarkEnd w:id="0"/>
          <w:r w:rsidR="00420EF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.2024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420EF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00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53" w:rsidRDefault="002D34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341B0"/>
    <w:multiLevelType w:val="hybridMultilevel"/>
    <w:tmpl w:val="9DB80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2CD4"/>
    <w:multiLevelType w:val="hybridMultilevel"/>
    <w:tmpl w:val="E3A4C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2305"/>
    <w:multiLevelType w:val="hybridMultilevel"/>
    <w:tmpl w:val="850EFB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7A47"/>
    <w:multiLevelType w:val="hybridMultilevel"/>
    <w:tmpl w:val="B1744E1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53BAA"/>
    <w:multiLevelType w:val="hybridMultilevel"/>
    <w:tmpl w:val="BE52D8DC"/>
    <w:lvl w:ilvl="0" w:tplc="BCEC2C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22679"/>
    <w:multiLevelType w:val="hybridMultilevel"/>
    <w:tmpl w:val="3AF4F2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6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11189D"/>
    <w:rsid w:val="001172B1"/>
    <w:rsid w:val="0014591F"/>
    <w:rsid w:val="00175A03"/>
    <w:rsid w:val="002027AE"/>
    <w:rsid w:val="00245F07"/>
    <w:rsid w:val="00271B99"/>
    <w:rsid w:val="00273217"/>
    <w:rsid w:val="002A0356"/>
    <w:rsid w:val="002D3453"/>
    <w:rsid w:val="002F6E99"/>
    <w:rsid w:val="00311149"/>
    <w:rsid w:val="003145EA"/>
    <w:rsid w:val="003174FB"/>
    <w:rsid w:val="00343EE8"/>
    <w:rsid w:val="003804F3"/>
    <w:rsid w:val="003C592E"/>
    <w:rsid w:val="00407B74"/>
    <w:rsid w:val="00420EFF"/>
    <w:rsid w:val="00424179"/>
    <w:rsid w:val="004A4DB9"/>
    <w:rsid w:val="004D5E68"/>
    <w:rsid w:val="0050647B"/>
    <w:rsid w:val="00574193"/>
    <w:rsid w:val="005C42B6"/>
    <w:rsid w:val="005E5370"/>
    <w:rsid w:val="00610BF7"/>
    <w:rsid w:val="006527D6"/>
    <w:rsid w:val="006B0F4B"/>
    <w:rsid w:val="006C439E"/>
    <w:rsid w:val="006C75D4"/>
    <w:rsid w:val="00715A3E"/>
    <w:rsid w:val="007B2291"/>
    <w:rsid w:val="007B5B1D"/>
    <w:rsid w:val="007D15E4"/>
    <w:rsid w:val="007E3C69"/>
    <w:rsid w:val="00814E3B"/>
    <w:rsid w:val="00817609"/>
    <w:rsid w:val="008E23B5"/>
    <w:rsid w:val="008E73EE"/>
    <w:rsid w:val="008E7A53"/>
    <w:rsid w:val="00911180"/>
    <w:rsid w:val="009325B4"/>
    <w:rsid w:val="00967AE7"/>
    <w:rsid w:val="009D575E"/>
    <w:rsid w:val="00A22B81"/>
    <w:rsid w:val="00A6555A"/>
    <w:rsid w:val="00A67EC8"/>
    <w:rsid w:val="00A74CFC"/>
    <w:rsid w:val="00AC27D3"/>
    <w:rsid w:val="00B04D0D"/>
    <w:rsid w:val="00B522DC"/>
    <w:rsid w:val="00BA5BA9"/>
    <w:rsid w:val="00BE3F2E"/>
    <w:rsid w:val="00BE57E2"/>
    <w:rsid w:val="00C05E1F"/>
    <w:rsid w:val="00D2231F"/>
    <w:rsid w:val="00D57C4C"/>
    <w:rsid w:val="00D86D96"/>
    <w:rsid w:val="00D973C8"/>
    <w:rsid w:val="00DF6DF1"/>
    <w:rsid w:val="00E033BB"/>
    <w:rsid w:val="00E35F59"/>
    <w:rsid w:val="00E929E1"/>
    <w:rsid w:val="00EA47DA"/>
    <w:rsid w:val="00F3155A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CEFA0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47</cp:revision>
  <cp:lastPrinted>2024-02-20T09:03:00Z</cp:lastPrinted>
  <dcterms:created xsi:type="dcterms:W3CDTF">2022-10-19T12:28:00Z</dcterms:created>
  <dcterms:modified xsi:type="dcterms:W3CDTF">2025-04-28T19:59:00Z</dcterms:modified>
</cp:coreProperties>
</file>