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DF1" w:rsidRPr="00CE1EBE" w:rsidRDefault="00DF6DF1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137" w:type="dxa"/>
        <w:tblLook w:val="04A0" w:firstRow="1" w:lastRow="0" w:firstColumn="1" w:lastColumn="0" w:noHBand="0" w:noVBand="1"/>
      </w:tblPr>
      <w:tblGrid>
        <w:gridCol w:w="2268"/>
        <w:gridCol w:w="7938"/>
      </w:tblGrid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 Unvanı: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PDR Müdürü</w:t>
            </w:r>
          </w:p>
        </w:tc>
      </w:tr>
      <w:tr w:rsidR="00DE5E48" w:rsidRPr="00CE1EBE" w:rsidTr="00072A1A">
        <w:trPr>
          <w:trHeight w:val="129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Üst Yönetici / Yöneticileri: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Öğrenci Dekanı, Öğrenci Dekan Yardımcısı</w:t>
            </w:r>
          </w:p>
        </w:tc>
      </w:tr>
      <w:tr w:rsidR="00DE5E48" w:rsidRPr="00CE1EBE" w:rsidTr="00C93D07">
        <w:trPr>
          <w:trHeight w:val="482"/>
        </w:trPr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Astları: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Klinik Psikolog Kıdemli Uzman, Klinik Psikolog Uzman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Vekalet</w:t>
            </w:r>
            <w:proofErr w:type="gram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Eden: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DE5E48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Öğrenci Dekanı </w:t>
            </w:r>
            <w:r w:rsidR="00DE5E48"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tarafından belirlenir</w:t>
            </w: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.</w:t>
            </w:r>
          </w:p>
        </w:tc>
      </w:tr>
      <w:tr w:rsidR="00DE5E48" w:rsidRPr="00CE1EBE" w:rsidTr="00C93D07">
        <w:tc>
          <w:tcPr>
            <w:tcW w:w="2268" w:type="dxa"/>
          </w:tcPr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Kısa Tanımı:</w:t>
            </w:r>
          </w:p>
          <w:p w:rsidR="00DE5E48" w:rsidRPr="00C232BA" w:rsidRDefault="00DE5E48" w:rsidP="00DE5E4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38" w:type="dxa"/>
          </w:tcPr>
          <w:p w:rsidR="0074305E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Psikolojik Danışma, Rehberlik Uygulama Merkezi (PDRM) Müdürü, İstanbul Arel Üniversitesi Öğrenci Dekanlığına bağlı olarak görev yapar. PDRM bünyesindeki ruh sağlığı hizmeti programlarının klinik ve idari işlemlerinin yönetiminden; öğrencilere eğitim hayatları boyunca bireysel psikolojik destek sağlanmasından ve önleyici çalışmaların yürütülmesinden sorumludur.</w:t>
            </w:r>
          </w:p>
          <w:p w:rsidR="00072A1A" w:rsidRPr="00072A1A" w:rsidRDefault="00072A1A" w:rsidP="00072A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C93D07"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Görev, Yetki ve Sorumluluklar:</w:t>
            </w:r>
          </w:p>
        </w:tc>
        <w:tc>
          <w:tcPr>
            <w:tcW w:w="7938" w:type="dxa"/>
          </w:tcPr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PDR hizmetleri bölümünün operasyonlarını, projelerini ve programlarını yönetmekle birlikte koordine etmek, mevcut proje ve hizmet yönetimi ilkelerine uyulmasını sağlamak,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Kriz yönetimi durumlarında (</w:t>
            </w:r>
            <w:proofErr w:type="spell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pandemi</w:t>
            </w:r>
            <w:proofErr w:type="spell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, doğal afet, öğrencinin vefatı, iş güvenliği kazaları vb.) psikolojik destek süreci ile ilgili bir çalışma gerçekleştirerek, bu gibi durumlarda alınacak aksiyonları yazılı olarak belirlemek ve yönetim bilgisine sunmak,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Gerekli durumlarda riskler doğrultusunda Hukuk Müşavirliği ile iletişime geçmek,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Öğrencilere </w:t>
            </w:r>
            <w:proofErr w:type="gram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gram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 ve yüz yüze olarak sunulan ruh sağlığı konusunda önleyici ve destekleyici çalışmaların ve etkinliklerin artırılmasını sağlamak,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İş dağılımı, eğitim, terfi, kurum içi prosedürlerin uygulanması ve kontrollerin yapılması ve sorun çözümü </w:t>
            </w:r>
            <w:proofErr w:type="gram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dahil</w:t>
            </w:r>
            <w:proofErr w:type="gram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 olmak üzere personelin denetimini sağlamak; performans değerlendirmesi yapmak ve personel faaliyetleri konusunda önerilerde bulunmak; çalışanları en yüksek üretkenlik ve performans düzeyine ulaşmaları için motive etmek, 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Öğrenci kulüpleri ile ortak faaliyetler düzenleyerek birimin tanıtımını gerçekleştirmek,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Birim için sosyal medya hesapları oluşturmak ve düzenli paylaşımlarda bulunulmasını sağlayarak birim faaliyetlerinin tanıtımını yapmak,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Her akademik yıl açılışında gerçekleştirilen </w:t>
            </w:r>
            <w:proofErr w:type="gram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oryantasyon</w:t>
            </w:r>
            <w:proofErr w:type="gram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 programında yer alarak birim hakkında doğru ve etkin bilgi paylaşımı sağlamak, 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Birimin web sitesini içerik açısından geliştirmek, Kurumsal İletişim Ofisi ile çalışarak çeşitli konularda video içerikleri (Ör: sınav kaygısı, verimli ders çalışma teknikleri vb.) hazırlamak ve birim web sitesinde yayınlanmasını sağlamak,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Her yıl yayınlanacak faaliyet raporu içeriğini aşağıda tavsiye olunan verileri içerecek şekilde tasarlamak ve yönetimin onayına sunmak, 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PDRM personelinin İnsan Kaynakları Ofisi ve Genel Sekreterlik ile birlikte yapacağı çalışmalar neticesinde ofis personelinin kişisel gelişimi için gereken </w:t>
            </w:r>
            <w:proofErr w:type="spell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süpervizyon</w:t>
            </w:r>
            <w:proofErr w:type="spell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 ve diğer eğitimleri belirlemek ve bu eğitimlerin yıllık planını Öğrenci Dekanlığı ve Rektörlüğe sunmak,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Merkez bünyesinde hazırlanan bülten için içerik hazırlayıp, hazırlanan içeriklerin kontrol edilerek bülten taslağının yayımlanması için ilgili birimlerle irtibata geçmek,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Eğitim sürecinin eksiksiz bir şekilde yürütülmesi için gerekli planlamaları yapmak,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Üniversite sınavına hazırlanan öğrencilere İletişim Direktörlüğü’nün desteğiyle sınav kaygısı ve sınav sistemiyle ilgili eğitimleri vermek,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Birimin genel raporlamalarının </w:t>
            </w:r>
            <w:proofErr w:type="gramStart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konsolide</w:t>
            </w:r>
            <w:proofErr w:type="gramEnd"/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 edilerek yönetime iletmek. 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Merkezin faaliyetleriyle ilgili tüm güncel gelişmeleri takip etmek.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Çalışmalarını bilgi güvenliği hedeflerine, politikalarına ve bilgi güvenliği yönetim sistemi dokümanlarına uygun olarak yürütmek. </w:t>
            </w:r>
          </w:p>
          <w:p w:rsidR="00072A1A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 xml:space="preserve">Kendi birimi ile ilgili bilgi güvenliği hedeflerinin takibini yapmak ve hedeflere ulaşılmasını sağlamak. </w:t>
            </w:r>
          </w:p>
          <w:p w:rsidR="00F1765C" w:rsidRPr="00072A1A" w:rsidRDefault="00072A1A" w:rsidP="00072A1A">
            <w:pPr>
              <w:pStyle w:val="AralkYok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hAnsi="Times New Roman" w:cs="Times New Roman"/>
                <w:sz w:val="24"/>
                <w:szCs w:val="24"/>
              </w:rPr>
              <w:t>Sistemler veya hizmetlerde gözlenen veya şüphelenilen herhangi bir bilgi güvenliği açıklığına dikkat etmek ve raporlamak.</w:t>
            </w:r>
          </w:p>
          <w:p w:rsidR="00072A1A" w:rsidRPr="00072A1A" w:rsidRDefault="00072A1A" w:rsidP="00072A1A">
            <w:pPr>
              <w:pStyle w:val="AralkYok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CFC" w:rsidRPr="00CE1EBE" w:rsidTr="00C93D07">
        <w:trPr>
          <w:trHeight w:val="1138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Görevin Gerektirdiği Eğitim Düzeyi/Deneyim:</w:t>
            </w:r>
          </w:p>
        </w:tc>
        <w:tc>
          <w:tcPr>
            <w:tcW w:w="7938" w:type="dxa"/>
          </w:tcPr>
          <w:p w:rsidR="00DE5E48" w:rsidRPr="00072A1A" w:rsidRDefault="00072A1A" w:rsidP="00072A1A">
            <w:pPr>
              <w:pStyle w:val="ListeParagraf"/>
              <w:numPr>
                <w:ilvl w:val="0"/>
                <w:numId w:val="26"/>
              </w:numPr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Doktora mezuniyet</w:t>
            </w:r>
            <w:r w:rsidR="00DE5E48"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derecesi gereklidir,</w:t>
            </w:r>
          </w:p>
          <w:p w:rsidR="008645EA" w:rsidRPr="00072A1A" w:rsidRDefault="00DE5E48" w:rsidP="00072A1A">
            <w:pPr>
              <w:pStyle w:val="ListeParagraf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Belirtilen görev ve sorumluluklarla doğrudan </w:t>
            </w:r>
            <w:r w:rsidR="00072A1A"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ilişkili en az 5 yıllık deneyim.</w:t>
            </w:r>
          </w:p>
        </w:tc>
      </w:tr>
      <w:tr w:rsidR="00A74CFC" w:rsidRPr="00CE1EBE" w:rsidTr="00072A1A">
        <w:trPr>
          <w:trHeight w:val="680"/>
        </w:trPr>
        <w:tc>
          <w:tcPr>
            <w:tcW w:w="2268" w:type="dxa"/>
          </w:tcPr>
          <w:p w:rsidR="00A74CFC" w:rsidRPr="00C232BA" w:rsidRDefault="00A74CFC" w:rsidP="00E42F2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Görevin Gerektirdiği Yetkinlikler:</w:t>
            </w:r>
          </w:p>
        </w:tc>
        <w:tc>
          <w:tcPr>
            <w:tcW w:w="7938" w:type="dxa"/>
          </w:tcPr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Krize müdahale tekniklerine ilişkin bilgi sahibi olmak,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Güçlü iletişim ve çevreye uyum sağlama becerisine sahip olmak,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Semptomları, reaksiyonları ve ilerlemeyi gözlemleyebilmek, değerlendirebilmek ve kaydedebilmek, 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Birçok program ve etkinliği planlayabilmek, düzenleyebilmek ve yönetebilmek,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Uzmanlık alanında kendisine bağlı personele işleyiş ile ilgili rehberlik ve liderlik edebilmek,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Toplum ruh sağlığı kaynaklarına ilişkin bilgi,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Klinik işlemler ve </w:t>
            </w:r>
            <w:proofErr w:type="gramStart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prosedürlere</w:t>
            </w:r>
            <w:proofErr w:type="gramEnd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ilişkin bilgi,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Görüşme ve psikolojik/gelişimsel değerlendirme yapma becerileri, 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Zihinsel, duygusal ve/veya gelişimsel engelli hastaların günlük ihtiyaçlarını değerlendirebilmek ve karşılayabilmek, 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İlgili güncel özel eğitim yöntem ve tekniklerini uygulama bilgisi ve becerisi,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Kısa ve uzun vadeli amaçları belirleyebilmek, planlayabilmek ve gerçekleştirebilmek,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Psikoterapik ilkeler ve uygulamalara ilişkin bilgi sahibi olmak,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Psikoterapik programlar geliştirebilmek ve uygulayabilmek, 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lastRenderedPageBreak/>
              <w:t xml:space="preserve">Bütçe hazırlama, maliyet tahmini, izleme ve mali yönetim ilkeleri ve </w:t>
            </w:r>
            <w:proofErr w:type="gramStart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prosedürlerine</w:t>
            </w:r>
            <w:proofErr w:type="gramEnd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ilişkin bilgi sahibi olmak,</w:t>
            </w:r>
          </w:p>
          <w:p w:rsidR="00072A1A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Uzmanlık alanında kalite güvence programlarını koordine edebilmek,</w:t>
            </w:r>
          </w:p>
          <w:p w:rsidR="00321829" w:rsidRPr="00072A1A" w:rsidRDefault="00072A1A" w:rsidP="00072A1A">
            <w:pPr>
              <w:pStyle w:val="ListeParagraf"/>
              <w:numPr>
                <w:ilvl w:val="0"/>
                <w:numId w:val="26"/>
              </w:numPr>
              <w:spacing w:after="200"/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</w:pPr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Geçerli risk yönetimi ilkeleri ve </w:t>
            </w:r>
            <w:proofErr w:type="gramStart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>prosedürlerine</w:t>
            </w:r>
            <w:proofErr w:type="gramEnd"/>
            <w:r w:rsidRPr="00072A1A">
              <w:rPr>
                <w:rFonts w:ascii="Times New Roman" w:eastAsia="Tahoma" w:hAnsi="Times New Roman" w:cs="Times New Roman"/>
                <w:sz w:val="24"/>
                <w:szCs w:val="24"/>
                <w:lang w:bidi="tr-TR"/>
              </w:rPr>
              <w:t xml:space="preserve"> ilişkin bilgi.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E42F2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ONAY (TEBELLÜĞ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 dokümanda açıklanan görev tanımını okudum. </w:t>
            </w:r>
          </w:p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Görevimi burada belirtilen kapsamda yerine getirmeyi kabul ve taahhüt ediyorum.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D9D9D9" w:themeFill="background1" w:themeFillShade="D9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ONAY (TEBLİĞ EDEN)</w:t>
            </w:r>
          </w:p>
        </w:tc>
      </w:tr>
      <w:tr w:rsidR="00A74CFC" w:rsidRPr="00CE1EBE" w:rsidTr="00C93D07">
        <w:tc>
          <w:tcPr>
            <w:tcW w:w="10206" w:type="dxa"/>
            <w:gridSpan w:val="2"/>
            <w:shd w:val="clear" w:color="auto" w:fill="FFFFFF" w:themeFill="background1"/>
          </w:tcPr>
          <w:p w:rsidR="00A74CFC" w:rsidRPr="00C232BA" w:rsidRDefault="00A74CFC" w:rsidP="00DE5E4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Ad-</w:t>
            </w:r>
            <w:proofErr w:type="spellStart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>Kadro Unvanı: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Tarih: </w:t>
            </w:r>
          </w:p>
          <w:p w:rsidR="00A74CFC" w:rsidRPr="00C232BA" w:rsidRDefault="00A74CFC" w:rsidP="00DE5E4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2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İmza: </w:t>
            </w:r>
          </w:p>
        </w:tc>
      </w:tr>
    </w:tbl>
    <w:p w:rsidR="00E033BB" w:rsidRPr="00CE1EBE" w:rsidRDefault="00E033BB" w:rsidP="00E42F21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E033BB" w:rsidRPr="00CE1EBE" w:rsidSect="00C93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69" w:rsidRDefault="00AA5969" w:rsidP="00610BF7">
      <w:pPr>
        <w:spacing w:after="0" w:line="240" w:lineRule="auto"/>
      </w:pPr>
      <w:r>
        <w:separator/>
      </w:r>
    </w:p>
  </w:endnote>
  <w:endnote w:type="continuationSeparator" w:id="0">
    <w:p w:rsidR="00AA5969" w:rsidRDefault="00AA5969" w:rsidP="00610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84" w:rsidRDefault="007E018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20599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E1EBE" w:rsidRDefault="00CE1EBE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018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E018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05E1F" w:rsidRDefault="00C05E1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84" w:rsidRDefault="007E01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69" w:rsidRDefault="00AA5969" w:rsidP="00610BF7">
      <w:pPr>
        <w:spacing w:after="0" w:line="240" w:lineRule="auto"/>
      </w:pPr>
      <w:r>
        <w:separator/>
      </w:r>
    </w:p>
  </w:footnote>
  <w:footnote w:type="continuationSeparator" w:id="0">
    <w:p w:rsidR="00AA5969" w:rsidRDefault="00AA5969" w:rsidP="00610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84" w:rsidRDefault="007E018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142" w:type="dxa"/>
      <w:tblInd w:w="137" w:type="dxa"/>
      <w:tblLook w:val="04A0" w:firstRow="1" w:lastRow="0" w:firstColumn="1" w:lastColumn="0" w:noHBand="0" w:noVBand="1"/>
    </w:tblPr>
    <w:tblGrid>
      <w:gridCol w:w="1905"/>
      <w:gridCol w:w="5750"/>
      <w:gridCol w:w="2487"/>
    </w:tblGrid>
    <w:tr w:rsidR="005C42B6" w:rsidRPr="004E4889" w:rsidTr="00583334">
      <w:trPr>
        <w:trHeight w:val="1330"/>
      </w:trPr>
      <w:tc>
        <w:tcPr>
          <w:tcW w:w="1905" w:type="dxa"/>
        </w:tcPr>
        <w:p w:rsidR="00817609" w:rsidRPr="004E4889" w:rsidRDefault="00817609" w:rsidP="009325B4">
          <w:pPr>
            <w:ind w:left="-108"/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Zapf_Humanist" w:eastAsia="Times New Roman" w:hAnsi="Zapf_Humanist" w:cs="Times New Roman"/>
              <w:szCs w:val="20"/>
              <w:lang w:eastAsia="tr-TR"/>
            </w:rPr>
            <w:object w:dxaOrig="1596" w:dyaOrig="1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pt;height:66pt">
                <v:imagedata r:id="rId1" o:title=""/>
              </v:shape>
              <o:OLEObject Type="Embed" ProgID="Visio.Drawing.15" ShapeID="_x0000_i1025" DrawAspect="Content" ObjectID="_1830087375" r:id="rId2"/>
            </w:object>
          </w:r>
        </w:p>
      </w:tc>
      <w:tc>
        <w:tcPr>
          <w:tcW w:w="5750" w:type="dxa"/>
          <w:vAlign w:val="center"/>
        </w:tcPr>
        <w:p w:rsidR="00817609" w:rsidRPr="004E4889" w:rsidRDefault="00817609" w:rsidP="00817609">
          <w:pPr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İSTANBUL AREL ÜNİVERSİTESİ</w:t>
          </w:r>
        </w:p>
        <w:p w:rsidR="00817609" w:rsidRPr="004E4889" w:rsidRDefault="00817609" w:rsidP="00817609">
          <w:pPr>
            <w:jc w:val="center"/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24"/>
              <w:szCs w:val="24"/>
              <w:lang w:eastAsia="tr-TR"/>
            </w:rPr>
            <w:t>GÖREV TANIMI FORMU</w:t>
          </w:r>
        </w:p>
      </w:tc>
      <w:tc>
        <w:tcPr>
          <w:tcW w:w="2487" w:type="dxa"/>
          <w:vAlign w:val="center"/>
        </w:tcPr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Doküman No:</w:t>
          </w:r>
          <w:r w:rsidR="007C4B5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="007C4B5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GT.PDR</w:t>
          </w:r>
          <w:proofErr w:type="gramEnd"/>
          <w:r w:rsidR="007C4B5F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.001</w:t>
          </w:r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Yayın Tarihi:</w:t>
          </w:r>
          <w:r w:rsidRPr="004E4889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 xml:space="preserve"> </w:t>
          </w:r>
          <w:bookmarkStart w:id="0" w:name="_GoBack"/>
          <w:r w:rsidR="007E018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20.12.2025</w:t>
          </w:r>
          <w:bookmarkEnd w:id="0"/>
        </w:p>
        <w:p w:rsidR="00817609" w:rsidRPr="004E4889" w:rsidRDefault="00817609" w:rsidP="00817609">
          <w:pPr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Revizyon No: </w:t>
          </w:r>
          <w:r w:rsidR="007E0184">
            <w:rPr>
              <w:rFonts w:ascii="Times New Roman" w:eastAsia="Times New Roman" w:hAnsi="Times New Roman" w:cs="Times New Roman"/>
              <w:sz w:val="18"/>
              <w:szCs w:val="24"/>
              <w:lang w:eastAsia="x-none"/>
            </w:rPr>
            <w:t>00</w:t>
          </w:r>
        </w:p>
        <w:p w:rsidR="00817609" w:rsidRPr="004E4889" w:rsidRDefault="00817609" w:rsidP="007E0184">
          <w:pPr>
            <w:rPr>
              <w:rFonts w:ascii="Zapf_Humanist" w:eastAsia="Times New Roman" w:hAnsi="Zapf_Humanist" w:cs="Times New Roman"/>
              <w:szCs w:val="20"/>
              <w:lang w:eastAsia="tr-TR"/>
            </w:rPr>
          </w:pPr>
          <w:r w:rsidRPr="004E4889"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eastAsia="Times New Roman" w:hAnsi="Times New Roman" w:cs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2027AE" w:rsidRDefault="002027AE" w:rsidP="0011189D">
    <w:pPr>
      <w:pStyle w:val="stBilgi"/>
    </w:pPr>
  </w:p>
  <w:p w:rsidR="002027AE" w:rsidRDefault="002027AE" w:rsidP="0011189D">
    <w:pPr>
      <w:pStyle w:val="stBilgi"/>
    </w:pPr>
  </w:p>
  <w:p w:rsidR="002027AE" w:rsidRPr="0011189D" w:rsidRDefault="002027AE" w:rsidP="0011189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84" w:rsidRDefault="007E018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40FDB"/>
    <w:multiLevelType w:val="hybridMultilevel"/>
    <w:tmpl w:val="E0084E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15F90"/>
    <w:multiLevelType w:val="hybridMultilevel"/>
    <w:tmpl w:val="CD6EA48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3B5FFC"/>
    <w:multiLevelType w:val="hybridMultilevel"/>
    <w:tmpl w:val="FE3858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5F09DB"/>
    <w:multiLevelType w:val="hybridMultilevel"/>
    <w:tmpl w:val="8AE02C6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C397C"/>
    <w:multiLevelType w:val="hybridMultilevel"/>
    <w:tmpl w:val="FD3A38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E4C8C"/>
    <w:multiLevelType w:val="hybridMultilevel"/>
    <w:tmpl w:val="812872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2118A"/>
    <w:multiLevelType w:val="hybridMultilevel"/>
    <w:tmpl w:val="9AFAD59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B40513"/>
    <w:multiLevelType w:val="hybridMultilevel"/>
    <w:tmpl w:val="C48CCD68"/>
    <w:lvl w:ilvl="0" w:tplc="BD20EA2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8B56C728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C180CBCA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BD1447BC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70E464FC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985213E8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FC969ACC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168074AA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3594E158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8" w15:restartNumberingAfterBreak="0">
    <w:nsid w:val="3081773B"/>
    <w:multiLevelType w:val="hybridMultilevel"/>
    <w:tmpl w:val="CCDEE0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8E0192"/>
    <w:multiLevelType w:val="hybridMultilevel"/>
    <w:tmpl w:val="C1DA64DC"/>
    <w:lvl w:ilvl="0" w:tplc="C20017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EB0236CA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4226754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886C1122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BE0C6C60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F9E2E1B0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B47EFC2E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2642F952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501841BE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0" w15:restartNumberingAfterBreak="0">
    <w:nsid w:val="3582754F"/>
    <w:multiLevelType w:val="hybridMultilevel"/>
    <w:tmpl w:val="3448F8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30562B"/>
    <w:multiLevelType w:val="hybridMultilevel"/>
    <w:tmpl w:val="035884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47B71"/>
    <w:multiLevelType w:val="hybridMultilevel"/>
    <w:tmpl w:val="6428E5AA"/>
    <w:lvl w:ilvl="0" w:tplc="D9A4243C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15440"/>
    <w:multiLevelType w:val="hybridMultilevel"/>
    <w:tmpl w:val="D4FC7198"/>
    <w:lvl w:ilvl="0" w:tplc="041F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 w15:restartNumberingAfterBreak="0">
    <w:nsid w:val="429766DF"/>
    <w:multiLevelType w:val="hybridMultilevel"/>
    <w:tmpl w:val="A22E2F90"/>
    <w:lvl w:ilvl="0" w:tplc="25A21494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BC70C3EE">
      <w:numFmt w:val="bullet"/>
      <w:lvlText w:val="•"/>
      <w:lvlJc w:val="left"/>
      <w:pPr>
        <w:ind w:left="1520" w:hanging="360"/>
      </w:pPr>
      <w:rPr>
        <w:rFonts w:hint="default"/>
        <w:lang w:val="tr-TR" w:eastAsia="en-US" w:bidi="ar-SA"/>
      </w:rPr>
    </w:lvl>
    <w:lvl w:ilvl="2" w:tplc="3B48B1B8">
      <w:numFmt w:val="bullet"/>
      <w:lvlText w:val="•"/>
      <w:lvlJc w:val="left"/>
      <w:pPr>
        <w:ind w:left="2201" w:hanging="360"/>
      </w:pPr>
      <w:rPr>
        <w:rFonts w:hint="default"/>
        <w:lang w:val="tr-TR" w:eastAsia="en-US" w:bidi="ar-SA"/>
      </w:rPr>
    </w:lvl>
    <w:lvl w:ilvl="3" w:tplc="5FB8A504">
      <w:numFmt w:val="bullet"/>
      <w:lvlText w:val="•"/>
      <w:lvlJc w:val="left"/>
      <w:pPr>
        <w:ind w:left="2882" w:hanging="360"/>
      </w:pPr>
      <w:rPr>
        <w:rFonts w:hint="default"/>
        <w:lang w:val="tr-TR" w:eastAsia="en-US" w:bidi="ar-SA"/>
      </w:rPr>
    </w:lvl>
    <w:lvl w:ilvl="4" w:tplc="0664AAC8">
      <w:numFmt w:val="bullet"/>
      <w:lvlText w:val="•"/>
      <w:lvlJc w:val="left"/>
      <w:pPr>
        <w:ind w:left="3562" w:hanging="360"/>
      </w:pPr>
      <w:rPr>
        <w:rFonts w:hint="default"/>
        <w:lang w:val="tr-TR" w:eastAsia="en-US" w:bidi="ar-SA"/>
      </w:rPr>
    </w:lvl>
    <w:lvl w:ilvl="5" w:tplc="35461CBE">
      <w:numFmt w:val="bullet"/>
      <w:lvlText w:val="•"/>
      <w:lvlJc w:val="left"/>
      <w:pPr>
        <w:ind w:left="4243" w:hanging="360"/>
      </w:pPr>
      <w:rPr>
        <w:rFonts w:hint="default"/>
        <w:lang w:val="tr-TR" w:eastAsia="en-US" w:bidi="ar-SA"/>
      </w:rPr>
    </w:lvl>
    <w:lvl w:ilvl="6" w:tplc="EA045458">
      <w:numFmt w:val="bullet"/>
      <w:lvlText w:val="•"/>
      <w:lvlJc w:val="left"/>
      <w:pPr>
        <w:ind w:left="4924" w:hanging="360"/>
      </w:pPr>
      <w:rPr>
        <w:rFonts w:hint="default"/>
        <w:lang w:val="tr-TR" w:eastAsia="en-US" w:bidi="ar-SA"/>
      </w:rPr>
    </w:lvl>
    <w:lvl w:ilvl="7" w:tplc="441AFBA6">
      <w:numFmt w:val="bullet"/>
      <w:lvlText w:val="•"/>
      <w:lvlJc w:val="left"/>
      <w:pPr>
        <w:ind w:left="5604" w:hanging="360"/>
      </w:pPr>
      <w:rPr>
        <w:rFonts w:hint="default"/>
        <w:lang w:val="tr-TR" w:eastAsia="en-US" w:bidi="ar-SA"/>
      </w:rPr>
    </w:lvl>
    <w:lvl w:ilvl="8" w:tplc="A55AE3EC">
      <w:numFmt w:val="bullet"/>
      <w:lvlText w:val="•"/>
      <w:lvlJc w:val="left"/>
      <w:pPr>
        <w:ind w:left="6285" w:hanging="360"/>
      </w:pPr>
      <w:rPr>
        <w:rFonts w:hint="default"/>
        <w:lang w:val="tr-TR" w:eastAsia="en-US" w:bidi="ar-SA"/>
      </w:rPr>
    </w:lvl>
  </w:abstractNum>
  <w:abstractNum w:abstractNumId="15" w15:restartNumberingAfterBreak="0">
    <w:nsid w:val="436827FE"/>
    <w:multiLevelType w:val="hybridMultilevel"/>
    <w:tmpl w:val="9D16C20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B00BF"/>
    <w:multiLevelType w:val="hybridMultilevel"/>
    <w:tmpl w:val="A3D0CE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676E85"/>
    <w:multiLevelType w:val="hybridMultilevel"/>
    <w:tmpl w:val="4D7879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7C14EE"/>
    <w:multiLevelType w:val="hybridMultilevel"/>
    <w:tmpl w:val="6D7003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EC3F7B"/>
    <w:multiLevelType w:val="hybridMultilevel"/>
    <w:tmpl w:val="026C3B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401255"/>
    <w:multiLevelType w:val="hybridMultilevel"/>
    <w:tmpl w:val="168ECA7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ED0D32"/>
    <w:multiLevelType w:val="hybridMultilevel"/>
    <w:tmpl w:val="CFC69E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A24D14"/>
    <w:multiLevelType w:val="hybridMultilevel"/>
    <w:tmpl w:val="99AA9D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FA0245"/>
    <w:multiLevelType w:val="hybridMultilevel"/>
    <w:tmpl w:val="7D08185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5F2B2A"/>
    <w:multiLevelType w:val="hybridMultilevel"/>
    <w:tmpl w:val="6D26E1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E40DD9"/>
    <w:multiLevelType w:val="hybridMultilevel"/>
    <w:tmpl w:val="D8C6D4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514C74"/>
    <w:multiLevelType w:val="hybridMultilevel"/>
    <w:tmpl w:val="983E3146"/>
    <w:lvl w:ilvl="0" w:tplc="332C8BA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EC09DF"/>
    <w:multiLevelType w:val="hybridMultilevel"/>
    <w:tmpl w:val="BE0C56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1"/>
  </w:num>
  <w:num w:numId="4">
    <w:abstractNumId w:val="27"/>
  </w:num>
  <w:num w:numId="5">
    <w:abstractNumId w:val="6"/>
  </w:num>
  <w:num w:numId="6">
    <w:abstractNumId w:val="15"/>
  </w:num>
  <w:num w:numId="7">
    <w:abstractNumId w:val="8"/>
  </w:num>
  <w:num w:numId="8">
    <w:abstractNumId w:val="17"/>
  </w:num>
  <w:num w:numId="9">
    <w:abstractNumId w:val="13"/>
  </w:num>
  <w:num w:numId="10">
    <w:abstractNumId w:val="11"/>
  </w:num>
  <w:num w:numId="11">
    <w:abstractNumId w:val="26"/>
  </w:num>
  <w:num w:numId="12">
    <w:abstractNumId w:val="7"/>
  </w:num>
  <w:num w:numId="13">
    <w:abstractNumId w:val="14"/>
  </w:num>
  <w:num w:numId="14">
    <w:abstractNumId w:val="9"/>
  </w:num>
  <w:num w:numId="15">
    <w:abstractNumId w:val="18"/>
  </w:num>
  <w:num w:numId="16">
    <w:abstractNumId w:val="12"/>
  </w:num>
  <w:num w:numId="17">
    <w:abstractNumId w:val="3"/>
  </w:num>
  <w:num w:numId="18">
    <w:abstractNumId w:val="21"/>
  </w:num>
  <w:num w:numId="19">
    <w:abstractNumId w:val="0"/>
  </w:num>
  <w:num w:numId="20">
    <w:abstractNumId w:val="25"/>
  </w:num>
  <w:num w:numId="21">
    <w:abstractNumId w:val="10"/>
  </w:num>
  <w:num w:numId="22">
    <w:abstractNumId w:val="23"/>
  </w:num>
  <w:num w:numId="23">
    <w:abstractNumId w:val="16"/>
  </w:num>
  <w:num w:numId="24">
    <w:abstractNumId w:val="24"/>
  </w:num>
  <w:num w:numId="25">
    <w:abstractNumId w:val="22"/>
  </w:num>
  <w:num w:numId="26">
    <w:abstractNumId w:val="19"/>
  </w:num>
  <w:num w:numId="27">
    <w:abstractNumId w:val="4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99"/>
    <w:rsid w:val="00012396"/>
    <w:rsid w:val="00015642"/>
    <w:rsid w:val="00066428"/>
    <w:rsid w:val="00072A1A"/>
    <w:rsid w:val="00073BED"/>
    <w:rsid w:val="00084477"/>
    <w:rsid w:val="0008758C"/>
    <w:rsid w:val="000939D0"/>
    <w:rsid w:val="000C46DC"/>
    <w:rsid w:val="000C484C"/>
    <w:rsid w:val="000E3AF9"/>
    <w:rsid w:val="000E4323"/>
    <w:rsid w:val="0011189D"/>
    <w:rsid w:val="0014591F"/>
    <w:rsid w:val="00175A03"/>
    <w:rsid w:val="002027AE"/>
    <w:rsid w:val="00245F07"/>
    <w:rsid w:val="00253C1E"/>
    <w:rsid w:val="00261521"/>
    <w:rsid w:val="002707FD"/>
    <w:rsid w:val="00271B99"/>
    <w:rsid w:val="00273217"/>
    <w:rsid w:val="002A0356"/>
    <w:rsid w:val="002A2A68"/>
    <w:rsid w:val="002B2A54"/>
    <w:rsid w:val="002E068E"/>
    <w:rsid w:val="002F6E99"/>
    <w:rsid w:val="003145EA"/>
    <w:rsid w:val="003174FB"/>
    <w:rsid w:val="00321829"/>
    <w:rsid w:val="00343EE8"/>
    <w:rsid w:val="003804F3"/>
    <w:rsid w:val="00395DF8"/>
    <w:rsid w:val="00396F95"/>
    <w:rsid w:val="003C592E"/>
    <w:rsid w:val="00407B74"/>
    <w:rsid w:val="00424A9C"/>
    <w:rsid w:val="004A4DB9"/>
    <w:rsid w:val="004C1001"/>
    <w:rsid w:val="004D5E68"/>
    <w:rsid w:val="00504919"/>
    <w:rsid w:val="0050647B"/>
    <w:rsid w:val="00574193"/>
    <w:rsid w:val="00583334"/>
    <w:rsid w:val="00590465"/>
    <w:rsid w:val="005946DB"/>
    <w:rsid w:val="005C42B6"/>
    <w:rsid w:val="005E5370"/>
    <w:rsid w:val="005F3D5C"/>
    <w:rsid w:val="00610BF7"/>
    <w:rsid w:val="006527D6"/>
    <w:rsid w:val="006668F6"/>
    <w:rsid w:val="00680E34"/>
    <w:rsid w:val="006B0F4B"/>
    <w:rsid w:val="006C439E"/>
    <w:rsid w:val="006C75D4"/>
    <w:rsid w:val="00715A3E"/>
    <w:rsid w:val="0074305E"/>
    <w:rsid w:val="00766893"/>
    <w:rsid w:val="00786C53"/>
    <w:rsid w:val="007A1644"/>
    <w:rsid w:val="007B2291"/>
    <w:rsid w:val="007B5B1D"/>
    <w:rsid w:val="007C21AB"/>
    <w:rsid w:val="007C4B5F"/>
    <w:rsid w:val="007D15E4"/>
    <w:rsid w:val="007E0184"/>
    <w:rsid w:val="007E3C69"/>
    <w:rsid w:val="00804C40"/>
    <w:rsid w:val="00814E3B"/>
    <w:rsid w:val="00817609"/>
    <w:rsid w:val="00837058"/>
    <w:rsid w:val="00850DE3"/>
    <w:rsid w:val="008645EA"/>
    <w:rsid w:val="008E23B5"/>
    <w:rsid w:val="008E73EE"/>
    <w:rsid w:val="008E7A53"/>
    <w:rsid w:val="0090330B"/>
    <w:rsid w:val="00911180"/>
    <w:rsid w:val="00924CAD"/>
    <w:rsid w:val="009325B4"/>
    <w:rsid w:val="00962ADC"/>
    <w:rsid w:val="00967AE7"/>
    <w:rsid w:val="009D1D42"/>
    <w:rsid w:val="009E5205"/>
    <w:rsid w:val="00A04B2D"/>
    <w:rsid w:val="00A22B81"/>
    <w:rsid w:val="00A25A91"/>
    <w:rsid w:val="00A4071C"/>
    <w:rsid w:val="00A54922"/>
    <w:rsid w:val="00A6555A"/>
    <w:rsid w:val="00A722A4"/>
    <w:rsid w:val="00A74CFC"/>
    <w:rsid w:val="00A816D0"/>
    <w:rsid w:val="00AA5969"/>
    <w:rsid w:val="00AD1A97"/>
    <w:rsid w:val="00B31B5B"/>
    <w:rsid w:val="00B522DC"/>
    <w:rsid w:val="00B96544"/>
    <w:rsid w:val="00BA5BA9"/>
    <w:rsid w:val="00BE3F2E"/>
    <w:rsid w:val="00C05E1F"/>
    <w:rsid w:val="00C12F6E"/>
    <w:rsid w:val="00C232BA"/>
    <w:rsid w:val="00C3236F"/>
    <w:rsid w:val="00C7594C"/>
    <w:rsid w:val="00C93D07"/>
    <w:rsid w:val="00CE1EBE"/>
    <w:rsid w:val="00CF0A94"/>
    <w:rsid w:val="00D2231F"/>
    <w:rsid w:val="00D57C4C"/>
    <w:rsid w:val="00D67999"/>
    <w:rsid w:val="00D86D96"/>
    <w:rsid w:val="00D973C8"/>
    <w:rsid w:val="00DC132E"/>
    <w:rsid w:val="00DE5E48"/>
    <w:rsid w:val="00DF6DF1"/>
    <w:rsid w:val="00E033BB"/>
    <w:rsid w:val="00E35F59"/>
    <w:rsid w:val="00E42F21"/>
    <w:rsid w:val="00E929E1"/>
    <w:rsid w:val="00EA47DA"/>
    <w:rsid w:val="00EA6BA7"/>
    <w:rsid w:val="00F07A4A"/>
    <w:rsid w:val="00F1765C"/>
    <w:rsid w:val="00F3155A"/>
    <w:rsid w:val="00F8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3FC81"/>
  <w15:chartTrackingRefBased/>
  <w15:docId w15:val="{4DA0C290-0C48-4F78-A289-AE8BAFCBC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10BF7"/>
  </w:style>
  <w:style w:type="paragraph" w:styleId="AltBilgi">
    <w:name w:val="footer"/>
    <w:basedOn w:val="Normal"/>
    <w:link w:val="AltBilgiChar"/>
    <w:uiPriority w:val="99"/>
    <w:unhideWhenUsed/>
    <w:rsid w:val="00610B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10BF7"/>
  </w:style>
  <w:style w:type="table" w:styleId="TabloKlavuzu">
    <w:name w:val="Table Grid"/>
    <w:basedOn w:val="NormalTablo"/>
    <w:uiPriority w:val="39"/>
    <w:rsid w:val="00610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bilgiChar0">
    <w:name w:val="Üstbilgi Char"/>
    <w:link w:val="a"/>
    <w:rsid w:val="002A0356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a">
    <w:basedOn w:val="Normal"/>
    <w:next w:val="stBilgi"/>
    <w:link w:val="stbilgiChar0"/>
    <w:unhideWhenUsed/>
    <w:rsid w:val="002A0356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AralkYok">
    <w:name w:val="No Spacing"/>
    <w:uiPriority w:val="1"/>
    <w:qFormat/>
    <w:rsid w:val="00E929E1"/>
    <w:pPr>
      <w:spacing w:after="0" w:line="240" w:lineRule="auto"/>
    </w:pPr>
    <w:rPr>
      <w:rFonts w:eastAsiaTheme="minorEastAsia"/>
      <w:sz w:val="21"/>
      <w:szCs w:val="21"/>
    </w:rPr>
  </w:style>
  <w:style w:type="paragraph" w:customStyle="1" w:styleId="ydpb62e551emsolistparagraph">
    <w:name w:val="ydpb62e551emsolistparagraph"/>
    <w:basedOn w:val="Normal"/>
    <w:rsid w:val="00E929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99"/>
    <w:qFormat/>
    <w:rsid w:val="00407B7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EA4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47DA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C21AB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B053D-EDFF-4C89-A4E5-2951D089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HATİPOĞLU</dc:creator>
  <cp:keywords/>
  <dc:description/>
  <cp:lastModifiedBy>Beste BEKTAŞ</cp:lastModifiedBy>
  <cp:revision>3</cp:revision>
  <cp:lastPrinted>2024-02-20T09:03:00Z</cp:lastPrinted>
  <dcterms:created xsi:type="dcterms:W3CDTF">2025-12-29T12:05:00Z</dcterms:created>
  <dcterms:modified xsi:type="dcterms:W3CDTF">2026-01-16T13:50:00Z</dcterms:modified>
</cp:coreProperties>
</file>