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1249"/>
        <w:gridCol w:w="878"/>
        <w:gridCol w:w="763"/>
        <w:gridCol w:w="1052"/>
        <w:gridCol w:w="790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0D520F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FR.PTR.005</w:t>
            </w:r>
            <w:bookmarkStart w:id="0" w:name="_GoBack"/>
            <w:bookmarkEnd w:id="0"/>
          </w:p>
        </w:tc>
        <w:tc>
          <w:tcPr>
            <w:tcW w:w="787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86EE9">
              <w:rPr>
                <w:rFonts w:ascii="Times New Roman" w:hAnsi="Times New Roman"/>
                <w:i w:val="0"/>
                <w:sz w:val="28"/>
                <w:szCs w:val="28"/>
              </w:rPr>
              <w:t>TGA</w:t>
            </w:r>
            <w:r w:rsidRPr="001C2F78">
              <w:rPr>
                <w:rFonts w:ascii="Times New Roman" w:hAnsi="Times New Roman"/>
                <w:i w:val="0"/>
                <w:sz w:val="28"/>
                <w:szCs w:val="28"/>
              </w:rPr>
              <w:t xml:space="preserve"> ANALİZ 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4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4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9A410E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9A410E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886EE9" w:rsidRPr="00A31A75" w:rsidTr="00886EE9">
        <w:tblPrEx>
          <w:tblCellMar>
            <w:top w:w="85" w:type="dxa"/>
            <w:bottom w:w="85" w:type="dxa"/>
          </w:tblCellMar>
        </w:tblPrEx>
        <w:trPr>
          <w:trHeight w:val="48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 xml:space="preserve">Numune </w:t>
            </w:r>
            <w:r w:rsidRPr="00A31A75">
              <w:rPr>
                <w:rFonts w:ascii="Times New Roman" w:eastAsia="MS Gothic" w:hAnsi="Times New Roman"/>
                <w:bCs/>
                <w:szCs w:val="20"/>
              </w:rPr>
              <w:t>Cinsi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pStyle w:val="GrupYaziNot"/>
              <w:jc w:val="left"/>
              <w:rPr>
                <w:rFonts w:ascii="Times New Roman" w:eastAsia="MS Gothic" w:hAnsi="Times New Roman"/>
                <w:bCs/>
                <w:sz w:val="20"/>
                <w:szCs w:val="20"/>
              </w:rPr>
            </w:pPr>
            <w:r w:rsidRPr="00A31A75">
              <w:rPr>
                <w:rFonts w:ascii="Times New Roman" w:eastAsia="MS Gothic" w:hAnsi="Times New Roman"/>
                <w:bCs/>
                <w:sz w:val="20"/>
                <w:szCs w:val="20"/>
              </w:rPr>
              <w:t>Toz</w:t>
            </w:r>
          </w:p>
          <w:p w:rsidR="00886EE9" w:rsidRPr="00A31A75" w:rsidRDefault="00886EE9" w:rsidP="007748A9">
            <w:pPr>
              <w:pStyle w:val="GrupYaziNot"/>
              <w:rPr>
                <w:rFonts w:ascii="Times New Roman" w:eastAsia="MS Gothic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pStyle w:val="GrupYaziNo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31A75">
              <w:rPr>
                <w:rFonts w:ascii="Times New Roman" w:eastAsia="Times New Roman" w:hAnsi="Times New Roman"/>
                <w:bCs/>
                <w:sz w:val="20"/>
                <w:szCs w:val="20"/>
              </w:rPr>
              <w:t>Film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886EE9">
            <w:pPr>
              <w:pStyle w:val="GrupYaziNo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Granül</w:t>
            </w:r>
          </w:p>
        </w:tc>
      </w:tr>
      <w:tr w:rsidR="00886EE9" w:rsidRPr="00A31A75" w:rsidTr="00886EE9">
        <w:tblPrEx>
          <w:tblCellMar>
            <w:top w:w="85" w:type="dxa"/>
            <w:bottom w:w="85" w:type="dxa"/>
          </w:tblCellMar>
        </w:tblPrEx>
        <w:trPr>
          <w:trHeight w:val="806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 w:rsidRPr="00A31A75">
              <w:rPr>
                <w:rFonts w:ascii="Times New Roman" w:eastAsia="MS Gothic" w:hAnsi="MS Gothic"/>
                <w:bCs/>
                <w:szCs w:val="20"/>
              </w:rPr>
              <w:t>☐</w:t>
            </w:r>
            <w:r>
              <w:rPr>
                <w:rFonts w:ascii="Times New Roman" w:eastAsia="Times New Roman" w:hAnsi="Times New Roman"/>
                <w:bCs/>
                <w:szCs w:val="20"/>
              </w:rPr>
              <w:t>Standart uygulama i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>stiyorum</w:t>
            </w:r>
          </w:p>
          <w:p w:rsidR="00886EE9" w:rsidRPr="00A31A75" w:rsidRDefault="00886EE9" w:rsidP="007748A9">
            <w:pPr>
              <w:pStyle w:val="GrupYaziNot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 w:rsidRPr="00A31A75">
              <w:rPr>
                <w:rFonts w:ascii="Times New Roman" w:eastAsia="Times New Roman" w:hAnsi="Times New Roman"/>
                <w:bCs/>
                <w:szCs w:val="20"/>
              </w:rPr>
              <w:t>Deney Atmosferi:</w:t>
            </w:r>
          </w:p>
          <w:p w:rsidR="00886EE9" w:rsidRPr="00886EE9" w:rsidRDefault="00886EE9" w:rsidP="00886EE9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 w:rsidRPr="00A31A75">
              <w:rPr>
                <w:rFonts w:ascii="Times New Roman" w:eastAsia="MS Gothic" w:hAnsi="MS Gothic"/>
                <w:bCs/>
                <w:szCs w:val="20"/>
              </w:rPr>
              <w:t>☐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 xml:space="preserve">  Azot    </w:t>
            </w:r>
            <w:r w:rsidRPr="00A31A75">
              <w:rPr>
                <w:rFonts w:ascii="Times New Roman" w:eastAsia="MS Gothic" w:hAnsi="MS Gothic"/>
                <w:bCs/>
                <w:szCs w:val="20"/>
              </w:rPr>
              <w:t>☐</w:t>
            </w:r>
            <w:r>
              <w:rPr>
                <w:rFonts w:ascii="Times New Roman" w:eastAsia="Times New Roman" w:hAnsi="Times New Roman"/>
                <w:bCs/>
                <w:szCs w:val="20"/>
              </w:rPr>
              <w:t xml:space="preserve">  Oksijen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65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pStyle w:val="GrupYazi"/>
              <w:rPr>
                <w:rFonts w:ascii="Times New Roman" w:hAnsi="Times New Roman"/>
                <w:b/>
                <w:sz w:val="20"/>
                <w:szCs w:val="20"/>
              </w:rPr>
            </w:pPr>
            <w:r w:rsidRPr="00A31A75">
              <w:rPr>
                <w:rFonts w:ascii="Times New Roman" w:eastAsia="MS Gothic" w:hAnsi="MS Gothic"/>
                <w:bCs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Standart uygulama i</w:t>
            </w:r>
            <w:r w:rsidRPr="00A31A75">
              <w:rPr>
                <w:rFonts w:ascii="Times New Roman" w:eastAsia="Times New Roman" w:hAnsi="Times New Roman"/>
                <w:bCs/>
                <w:sz w:val="20"/>
                <w:szCs w:val="20"/>
              </w:rPr>
              <w:t>stemiyorum</w:t>
            </w: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 w:rsidRPr="00A31A75">
              <w:rPr>
                <w:rFonts w:ascii="Times New Roman" w:eastAsia="Times New Roman" w:hAnsi="Times New Roman"/>
                <w:bCs/>
                <w:szCs w:val="20"/>
              </w:rPr>
              <w:t>Isıtma Hızı (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sym w:font="Symbol" w:char="F0B0"/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>C/</w:t>
            </w:r>
            <w:proofErr w:type="spellStart"/>
            <w:r w:rsidRPr="00A31A75">
              <w:rPr>
                <w:rFonts w:ascii="Times New Roman" w:eastAsia="Times New Roman" w:hAnsi="Times New Roman"/>
                <w:bCs/>
                <w:szCs w:val="20"/>
              </w:rPr>
              <w:t>min</w:t>
            </w:r>
            <w:proofErr w:type="spellEnd"/>
            <w:r w:rsidRPr="00A31A75">
              <w:rPr>
                <w:rFonts w:ascii="Times New Roman" w:eastAsia="Times New Roman" w:hAnsi="Times New Roman"/>
                <w:bCs/>
                <w:szCs w:val="20"/>
              </w:rPr>
              <w:t>):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38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pStyle w:val="GrupYazi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 w:rsidRPr="00A31A75">
              <w:rPr>
                <w:rFonts w:ascii="Times New Roman" w:eastAsia="Times New Roman" w:hAnsi="Times New Roman"/>
                <w:bCs/>
                <w:szCs w:val="20"/>
              </w:rPr>
              <w:t>Sıcaklık Aralığı (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sym w:font="Symbol" w:char="F0B0"/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>C):</w:t>
            </w:r>
          </w:p>
        </w:tc>
      </w:tr>
      <w:tr w:rsidR="00886EE9" w:rsidRPr="00A31A75" w:rsidTr="00987F4F">
        <w:tblPrEx>
          <w:tblCellMar>
            <w:top w:w="85" w:type="dxa"/>
            <w:bottom w:w="85" w:type="dxa"/>
          </w:tblCellMar>
        </w:tblPrEx>
        <w:trPr>
          <w:trHeight w:val="87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31A75" w:rsidRDefault="00886EE9" w:rsidP="007748A9">
            <w:pPr>
              <w:pStyle w:val="GrupYazi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Default="00886EE9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  <w:p w:rsidR="00886EE9" w:rsidRPr="00A31A75" w:rsidRDefault="00886EE9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  <w:r w:rsidRPr="00A31A75">
              <w:rPr>
                <w:rFonts w:ascii="Times New Roman" w:eastAsia="Times New Roman" w:hAnsi="Times New Roman"/>
                <w:bCs/>
                <w:szCs w:val="20"/>
              </w:rPr>
              <w:t xml:space="preserve">Deney Atmosferi:     </w:t>
            </w:r>
            <w:r w:rsidRPr="00A31A75">
              <w:rPr>
                <w:rFonts w:ascii="Times New Roman" w:eastAsia="MS Gothic" w:hAnsi="MS Gothic"/>
                <w:bCs/>
                <w:szCs w:val="20"/>
              </w:rPr>
              <w:t>☐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 xml:space="preserve">  Azot </w:t>
            </w:r>
            <w:r w:rsidRPr="00A31A75">
              <w:rPr>
                <w:rFonts w:ascii="Times New Roman" w:eastAsia="MS Gothic" w:hAnsi="MS Gothic"/>
                <w:bCs/>
                <w:szCs w:val="20"/>
              </w:rPr>
              <w:t>☐</w:t>
            </w:r>
            <w:r w:rsidRPr="00A31A75">
              <w:rPr>
                <w:rFonts w:ascii="Times New Roman" w:eastAsia="Times New Roman" w:hAnsi="Times New Roman"/>
                <w:bCs/>
                <w:szCs w:val="20"/>
              </w:rPr>
              <w:t xml:space="preserve">  Oksijen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10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7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Analizi Yapan:</w:t>
            </w:r>
          </w:p>
        </w:tc>
        <w:tc>
          <w:tcPr>
            <w:tcW w:w="4975" w:type="dxa"/>
            <w:gridSpan w:val="3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Örnek Geliş Tarihi</w:t>
            </w:r>
          </w:p>
        </w:tc>
        <w:tc>
          <w:tcPr>
            <w:tcW w:w="3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Analiz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Yapılan Analizler</w:t>
            </w:r>
          </w:p>
        </w:tc>
        <w:tc>
          <w:tcPr>
            <w:tcW w:w="3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>Numunenin Getiriliş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>
        <w:rPr>
          <w:rFonts w:ascii="Times New Roman" w:eastAsia="Calibri" w:hAnsi="Times New Roman"/>
          <w:szCs w:val="20"/>
        </w:rPr>
        <w:t>Analiz 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 Tipi ve Miktarı</w:t>
      </w:r>
    </w:p>
    <w:p w:rsidR="00886EE9" w:rsidRPr="001954C7" w:rsidRDefault="00886EE9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TGA analizleri için toz, granül,</w:t>
      </w:r>
      <w:r w:rsidRPr="001954C7">
        <w:rPr>
          <w:rFonts w:ascii="Times New Roman" w:eastAsia="Times New Roman" w:hAnsi="Times New Roman"/>
          <w:szCs w:val="20"/>
        </w:rPr>
        <w:t xml:space="preserve"> ince film şeklinde getirilen numuneler tercih edilir. </w:t>
      </w:r>
    </w:p>
    <w:p w:rsidR="00886EE9" w:rsidRPr="001954C7" w:rsidRDefault="00886EE9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r w:rsidRPr="001954C7">
        <w:rPr>
          <w:rFonts w:ascii="Times New Roman" w:eastAsia="Times New Roman" w:hAnsi="Times New Roman"/>
          <w:szCs w:val="20"/>
        </w:rPr>
        <w:t xml:space="preserve">Numuneler 10 mg’dan az olmamalıdır. 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Analiz</w:t>
      </w:r>
      <w:r w:rsidRPr="001954C7">
        <w:rPr>
          <w:rFonts w:ascii="Times New Roman" w:hAnsi="Times New Roman"/>
          <w:b/>
          <w:szCs w:val="20"/>
        </w:rPr>
        <w:t xml:space="preserve"> 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 xml:space="preserve">Termal Analiz başvurularında </w:t>
      </w:r>
      <w:proofErr w:type="spellStart"/>
      <w:r>
        <w:rPr>
          <w:rFonts w:ascii="Times New Roman" w:hAnsi="Times New Roman"/>
          <w:szCs w:val="20"/>
        </w:rPr>
        <w:t>Termogravimetrik</w:t>
      </w:r>
      <w:proofErr w:type="spellEnd"/>
      <w:r>
        <w:rPr>
          <w:rFonts w:ascii="Times New Roman" w:hAnsi="Times New Roman"/>
          <w:szCs w:val="20"/>
        </w:rPr>
        <w:t xml:space="preserve"> Analiz (TGA</w:t>
      </w:r>
      <w:r w:rsidRPr="001954C7">
        <w:rPr>
          <w:rFonts w:ascii="Times New Roman" w:hAnsi="Times New Roman"/>
          <w:szCs w:val="20"/>
        </w:rPr>
        <w:t>) Analizi</w:t>
      </w:r>
      <w:r>
        <w:rPr>
          <w:rFonts w:ascii="Times New Roman" w:eastAsia="Calibri" w:hAnsi="Times New Roman"/>
          <w:szCs w:val="20"/>
        </w:rPr>
        <w:t xml:space="preserve"> Numune Kabul Kriterleri dikkatlice okunduktan sonra </w:t>
      </w:r>
      <w:proofErr w:type="spellStart"/>
      <w:r>
        <w:rPr>
          <w:rFonts w:ascii="Times New Roman" w:hAnsi="Times New Roman"/>
          <w:szCs w:val="20"/>
        </w:rPr>
        <w:t>Termogravimetrik</w:t>
      </w:r>
      <w:proofErr w:type="spellEnd"/>
      <w:r>
        <w:rPr>
          <w:rFonts w:ascii="Times New Roman" w:hAnsi="Times New Roman"/>
          <w:szCs w:val="20"/>
        </w:rPr>
        <w:t xml:space="preserve"> Analiz (TGA</w:t>
      </w:r>
      <w:r w:rsidRPr="001954C7">
        <w:rPr>
          <w:rFonts w:ascii="Times New Roman" w:hAnsi="Times New Roman"/>
          <w:szCs w:val="20"/>
        </w:rPr>
        <w:t>) Analiz İstek Formu</w:t>
      </w:r>
      <w:r>
        <w:rPr>
          <w:rFonts w:ascii="Times New Roman" w:eastAsia="Calibri" w:hAnsi="Times New Roman"/>
          <w:szCs w:val="20"/>
        </w:rPr>
        <w:t xml:space="preserve"> eksiksiz olarak</w:t>
      </w:r>
      <w:r w:rsidRPr="001954C7">
        <w:rPr>
          <w:rFonts w:ascii="Times New Roman" w:eastAsia="Calibri" w:hAnsi="Times New Roman"/>
          <w:szCs w:val="20"/>
        </w:rPr>
        <w:t xml:space="preserve"> doldurul</w:t>
      </w:r>
      <w:r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9A410E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0E" w:rsidRDefault="009A410E">
      <w:r>
        <w:separator/>
      </w:r>
    </w:p>
  </w:endnote>
  <w:endnote w:type="continuationSeparator" w:id="0">
    <w:p w:rsidR="009A410E" w:rsidRDefault="009A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0E" w:rsidRDefault="009A410E">
      <w:r>
        <w:separator/>
      </w:r>
    </w:p>
  </w:footnote>
  <w:footnote w:type="continuationSeparator" w:id="0">
    <w:p w:rsidR="009A410E" w:rsidRDefault="009A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9A410E">
    <w:pPr>
      <w:pStyle w:val="stBilgi"/>
    </w:pPr>
  </w:p>
  <w:p w:rsidR="00BA1FC6" w:rsidRDefault="009A41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B5D76"/>
    <w:rsid w:val="000C7BE0"/>
    <w:rsid w:val="000D520F"/>
    <w:rsid w:val="00112BF0"/>
    <w:rsid w:val="002B35B6"/>
    <w:rsid w:val="004406D8"/>
    <w:rsid w:val="006B45DA"/>
    <w:rsid w:val="008857FE"/>
    <w:rsid w:val="00886EE9"/>
    <w:rsid w:val="009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5399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1789F-0E9A-4B0B-9A51-223917C6E3C7}"/>
</file>

<file path=customXml/itemProps2.xml><?xml version="1.0" encoding="utf-8"?>
<ds:datastoreItem xmlns:ds="http://schemas.openxmlformats.org/officeDocument/2006/customXml" ds:itemID="{06DB157B-001D-43E3-9C34-C3E0584410BF}"/>
</file>

<file path=customXml/itemProps3.xml><?xml version="1.0" encoding="utf-8"?>
<ds:datastoreItem xmlns:ds="http://schemas.openxmlformats.org/officeDocument/2006/customXml" ds:itemID="{828EC092-A303-45B0-B5F8-5E1E509BB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5</cp:revision>
  <dcterms:created xsi:type="dcterms:W3CDTF">2022-10-24T13:52:00Z</dcterms:created>
  <dcterms:modified xsi:type="dcterms:W3CDTF">2024-12-18T11:17:00Z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